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252625" w:rsidRPr="0045077E" w:rsidRDefault="00252625" w:rsidP="0045077E">
      <w:pPr>
        <w:pStyle w:val="Normal1"/>
        <w:spacing w:after="100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252625" w:rsidRPr="0045077E" w:rsidRDefault="00306D2D" w:rsidP="0045077E">
      <w:pPr>
        <w:pStyle w:val="Normal1"/>
        <w:spacing w:after="10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45077E">
        <w:rPr>
          <w:rFonts w:ascii="Arial" w:eastAsia="Arial" w:hAnsi="Arial" w:cs="Arial"/>
          <w:b/>
          <w:sz w:val="20"/>
          <w:szCs w:val="20"/>
          <w:u w:val="single"/>
        </w:rPr>
        <w:t>INSTRUÇÕES PARA PREENCHIMENTO DO ROTEIRO DE AUTO-INSPEÇÃO</w:t>
      </w:r>
    </w:p>
    <w:p w:rsidR="00252625" w:rsidRPr="0045077E" w:rsidRDefault="00252625" w:rsidP="0045077E">
      <w:pPr>
        <w:pStyle w:val="Normal1"/>
        <w:jc w:val="both"/>
        <w:rPr>
          <w:rFonts w:ascii="Arial" w:hAnsi="Arial" w:cs="Arial"/>
          <w:sz w:val="20"/>
          <w:szCs w:val="20"/>
          <w:shd w:val="clear" w:color="auto" w:fill="FFFF66"/>
        </w:rPr>
      </w:pPr>
    </w:p>
    <w:p w:rsidR="00252625" w:rsidRPr="0045077E" w:rsidRDefault="00252625" w:rsidP="0045077E">
      <w:pPr>
        <w:pStyle w:val="Normal1"/>
        <w:jc w:val="both"/>
        <w:rPr>
          <w:rFonts w:ascii="Arial" w:hAnsi="Arial" w:cs="Arial"/>
          <w:sz w:val="20"/>
          <w:szCs w:val="20"/>
          <w:shd w:val="clear" w:color="auto" w:fill="FFFF66"/>
        </w:rPr>
      </w:pPr>
    </w:p>
    <w:p w:rsidR="00252625" w:rsidRPr="0045077E" w:rsidRDefault="00306D2D" w:rsidP="0045077E">
      <w:pPr>
        <w:pStyle w:val="Normal1"/>
        <w:numPr>
          <w:ilvl w:val="0"/>
          <w:numId w:val="2"/>
        </w:numPr>
        <w:spacing w:after="100" w:line="36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45077E">
        <w:rPr>
          <w:rFonts w:ascii="Arial" w:eastAsia="Arial" w:hAnsi="Arial" w:cs="Arial"/>
          <w:sz w:val="20"/>
          <w:szCs w:val="20"/>
        </w:rPr>
        <w:t xml:space="preserve">O preenchimento deste Roteiro de </w:t>
      </w:r>
      <w:proofErr w:type="spellStart"/>
      <w:r w:rsidRPr="0045077E">
        <w:rPr>
          <w:rFonts w:ascii="Arial" w:eastAsia="Arial" w:hAnsi="Arial" w:cs="Arial"/>
          <w:sz w:val="20"/>
          <w:szCs w:val="20"/>
        </w:rPr>
        <w:t>Auto-inspeção</w:t>
      </w:r>
      <w:proofErr w:type="spellEnd"/>
      <w:r w:rsidRPr="0045077E">
        <w:rPr>
          <w:rFonts w:ascii="Arial" w:eastAsia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252625" w:rsidRPr="0045077E" w:rsidRDefault="00306D2D" w:rsidP="0045077E">
      <w:pPr>
        <w:pStyle w:val="Normal1"/>
        <w:numPr>
          <w:ilvl w:val="0"/>
          <w:numId w:val="2"/>
        </w:numPr>
        <w:spacing w:after="100" w:line="36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45077E">
        <w:rPr>
          <w:rFonts w:ascii="Arial" w:eastAsia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252625" w:rsidRPr="0045077E" w:rsidRDefault="00306D2D" w:rsidP="0045077E">
      <w:pPr>
        <w:pStyle w:val="Normal1"/>
        <w:numPr>
          <w:ilvl w:val="0"/>
          <w:numId w:val="2"/>
        </w:numPr>
        <w:spacing w:after="100" w:line="36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45077E">
        <w:rPr>
          <w:rFonts w:ascii="Arial" w:eastAsia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252625" w:rsidRPr="0045077E" w:rsidRDefault="00306D2D" w:rsidP="0045077E">
      <w:pPr>
        <w:pStyle w:val="Normal1"/>
        <w:numPr>
          <w:ilvl w:val="0"/>
          <w:numId w:val="2"/>
        </w:numPr>
        <w:spacing w:after="100" w:line="36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45077E">
        <w:rPr>
          <w:rFonts w:ascii="Arial" w:eastAsia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252625" w:rsidRPr="0045077E" w:rsidRDefault="00306D2D" w:rsidP="0045077E">
      <w:pPr>
        <w:pStyle w:val="Normal1"/>
        <w:numPr>
          <w:ilvl w:val="0"/>
          <w:numId w:val="2"/>
        </w:numPr>
        <w:spacing w:after="100" w:line="36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45077E">
        <w:rPr>
          <w:rFonts w:ascii="Arial" w:eastAsia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252625" w:rsidRPr="0045077E" w:rsidRDefault="00306D2D" w:rsidP="0045077E">
      <w:pPr>
        <w:pStyle w:val="Normal1"/>
        <w:numPr>
          <w:ilvl w:val="0"/>
          <w:numId w:val="2"/>
        </w:numPr>
        <w:spacing w:after="100" w:line="36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45077E">
        <w:rPr>
          <w:rFonts w:ascii="Arial" w:eastAsia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252625" w:rsidRPr="0045077E" w:rsidRDefault="00306D2D" w:rsidP="0045077E">
      <w:pPr>
        <w:pStyle w:val="Normal1"/>
        <w:numPr>
          <w:ilvl w:val="0"/>
          <w:numId w:val="2"/>
        </w:numPr>
        <w:spacing w:after="100" w:line="36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45077E">
        <w:rPr>
          <w:rFonts w:ascii="Arial" w:eastAsia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252625" w:rsidRPr="0045077E" w:rsidRDefault="00306D2D" w:rsidP="0045077E">
      <w:pPr>
        <w:pStyle w:val="Normal1"/>
        <w:numPr>
          <w:ilvl w:val="0"/>
          <w:numId w:val="2"/>
        </w:numPr>
        <w:spacing w:after="100" w:line="36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45077E">
        <w:rPr>
          <w:rFonts w:ascii="Arial" w:eastAsia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Pr="0045077E">
        <w:rPr>
          <w:rFonts w:ascii="Arial" w:eastAsia="Arial" w:hAnsi="Arial" w:cs="Arial"/>
          <w:sz w:val="20"/>
          <w:szCs w:val="20"/>
        </w:rPr>
        <w:t>Auto-Inspeção</w:t>
      </w:r>
      <w:proofErr w:type="spellEnd"/>
      <w:r w:rsidRPr="0045077E">
        <w:rPr>
          <w:rFonts w:ascii="Arial" w:eastAsia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252625" w:rsidRPr="0045077E" w:rsidRDefault="00306D2D" w:rsidP="0045077E">
      <w:pPr>
        <w:pStyle w:val="Normal1"/>
        <w:numPr>
          <w:ilvl w:val="0"/>
          <w:numId w:val="2"/>
        </w:numPr>
        <w:spacing w:after="100" w:line="36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 w:rsidRPr="0045077E">
        <w:rPr>
          <w:rFonts w:ascii="Arial" w:eastAsia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Pr="0045077E">
        <w:rPr>
          <w:rFonts w:ascii="Arial" w:eastAsia="Arial" w:hAnsi="Arial" w:cs="Arial"/>
          <w:sz w:val="20"/>
          <w:szCs w:val="20"/>
        </w:rPr>
        <w:t>Auto-Inspeção</w:t>
      </w:r>
      <w:proofErr w:type="spellEnd"/>
      <w:r w:rsidRPr="0045077E">
        <w:rPr>
          <w:rFonts w:ascii="Arial" w:eastAsia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252625" w:rsidRPr="0045077E" w:rsidRDefault="00306D2D" w:rsidP="0045077E">
      <w:pPr>
        <w:pStyle w:val="Normal1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45077E">
        <w:rPr>
          <w:rFonts w:ascii="Arial" w:hAnsi="Arial" w:cs="Arial"/>
          <w:sz w:val="20"/>
          <w:szCs w:val="20"/>
        </w:rPr>
        <w:br w:type="page"/>
      </w:r>
    </w:p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BC70CD" w:rsidRDefault="00306D2D" w:rsidP="00BC70CD">
      <w:pPr>
        <w:pStyle w:val="Normal1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45077E">
        <w:rPr>
          <w:rFonts w:ascii="Arial" w:eastAsia="Arial" w:hAnsi="Arial" w:cs="Arial"/>
          <w:b/>
          <w:sz w:val="20"/>
          <w:szCs w:val="20"/>
          <w:u w:val="single"/>
        </w:rPr>
        <w:t>ROTEIRO DE AUTO-INSPEÇÃO PARA SERVIÇOS DE VACINAÇÃO E IMUNIZAÇÃO</w:t>
      </w:r>
      <w:r w:rsidR="00BC70CD">
        <w:rPr>
          <w:rFonts w:ascii="Arial" w:eastAsia="Arial" w:hAnsi="Arial" w:cs="Arial"/>
          <w:b/>
          <w:sz w:val="20"/>
          <w:szCs w:val="20"/>
          <w:u w:val="single"/>
        </w:rPr>
        <w:t xml:space="preserve"> HUMANA</w:t>
      </w:r>
    </w:p>
    <w:p w:rsidR="00252625" w:rsidRPr="0045077E" w:rsidRDefault="00BC70CD" w:rsidP="00BC70CD">
      <w:pPr>
        <w:pStyle w:val="Normal1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(</w:t>
      </w:r>
      <w:proofErr w:type="spellStart"/>
      <w:r w:rsidRPr="00BC70CD">
        <w:rPr>
          <w:rFonts w:ascii="Arial" w:eastAsia="Arial" w:hAnsi="Arial" w:cs="Arial"/>
          <w:b/>
          <w:sz w:val="20"/>
          <w:szCs w:val="20"/>
        </w:rPr>
        <w:t>Cnae</w:t>
      </w:r>
      <w:proofErr w:type="spellEnd"/>
      <w:r w:rsidRPr="00BC70CD">
        <w:rPr>
          <w:rFonts w:ascii="Arial" w:eastAsia="Arial" w:hAnsi="Arial" w:cs="Arial"/>
          <w:b/>
          <w:sz w:val="20"/>
          <w:szCs w:val="20"/>
        </w:rPr>
        <w:t xml:space="preserve"> </w:t>
      </w:r>
      <w:r w:rsidRPr="00BC70CD">
        <w:rPr>
          <w:rFonts w:ascii="Arial" w:hAnsi="Arial" w:cs="Arial"/>
          <w:b/>
          <w:sz w:val="20"/>
          <w:szCs w:val="20"/>
          <w:shd w:val="clear" w:color="auto" w:fill="FFFFFF"/>
        </w:rPr>
        <w:t>8630-5/06</w:t>
      </w:r>
      <w:r>
        <w:rPr>
          <w:rFonts w:ascii="Arial" w:eastAsia="Arial" w:hAnsi="Arial" w:cs="Arial"/>
          <w:b/>
          <w:sz w:val="20"/>
          <w:szCs w:val="20"/>
          <w:u w:val="single"/>
        </w:rPr>
        <w:t>)</w:t>
      </w:r>
    </w:p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252625" w:rsidRPr="0045077E" w:rsidRDefault="00306D2D" w:rsidP="0045077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 w:rsidRPr="0045077E">
        <w:rPr>
          <w:rFonts w:ascii="Arial" w:eastAsia="Arial" w:hAnsi="Arial" w:cs="Arial"/>
          <w:sz w:val="20"/>
          <w:szCs w:val="20"/>
        </w:rPr>
        <w:t>Processo/Ano N° ______/__</w:t>
      </w:r>
    </w:p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5924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22"/>
        <w:gridCol w:w="3879"/>
        <w:gridCol w:w="350"/>
        <w:gridCol w:w="361"/>
        <w:gridCol w:w="505"/>
        <w:gridCol w:w="483"/>
        <w:gridCol w:w="2941"/>
        <w:gridCol w:w="423"/>
      </w:tblGrid>
      <w:tr w:rsidR="00252625" w:rsidRPr="0045077E" w:rsidTr="00DA298A">
        <w:trPr>
          <w:gridBefore w:val="1"/>
          <w:gridAfter w:val="1"/>
          <w:wBefore w:w="558" w:type="pct"/>
          <w:wAfter w:w="210" w:type="pct"/>
          <w:jc w:val="center"/>
        </w:trPr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EDIFICAÇÃO E INSTALAÇÕES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Possui sala </w:t>
            </w:r>
            <w:r w:rsidRPr="0045077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exclusiva para vacina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com no mínimo 9m², devidamente identificada, com iluminação adequada, para a administração dos </w:t>
            </w:r>
            <w:proofErr w:type="spell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imunobiológicos</w:t>
            </w:r>
            <w:proofErr w:type="spell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  <w:p w:rsidR="00252625" w:rsidRPr="0045077E" w:rsidRDefault="00252625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52625" w:rsidRPr="0045077E" w:rsidRDefault="00306D2D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Observação: Em situações de urgência, emergência e em caso de necessidade, a aplicação de vacinas pode ser realizada no ponto de assistência ao paciente.</w:t>
            </w:r>
          </w:p>
          <w:p w:rsidR="00252625" w:rsidRPr="0045077E" w:rsidRDefault="00252625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 w:rsidR="00BC70CD"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BC70CD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 w:rsidRPr="0045077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C70CD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I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RDC Nº 197-ANVISA, de 26/12/2017, Art. 10º - § 1º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Possui área de recepção dimensionada de acordo com a demanda e separada da sala de vacinação?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RDC n° 197 de 26/12/2017, Art. 10 - I.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DA298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A sala de vacinação possui iluminação</w:t>
            </w:r>
            <w:r w:rsidR="00DA298A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ventilação</w:t>
            </w:r>
            <w:r w:rsidR="00DA29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climatização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compatível com o tamanho da sala?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8A" w:rsidRPr="0045077E" w:rsidRDefault="00DA298A" w:rsidP="00DA298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 w:rsidRPr="0045077E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Os vidros das janelas possuem proteção adequada contra luz solar direta, providos de película conforme as especificações: </w:t>
            </w:r>
            <w:r w:rsidRPr="0045077E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tipo reflexiva, na cor prata, linha arquitetura, qualidade </w:t>
            </w:r>
            <w:proofErr w:type="spellStart"/>
            <w:r w:rsidRPr="0045077E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anti-risco</w:t>
            </w:r>
            <w:proofErr w:type="spellEnd"/>
            <w:r w:rsidRPr="0045077E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 visibilidade luminosa transmitida até 15%, visibilidade luminosa refletida de no mínimo 60%, total de energia solar rejeitada de no mínimo 79% e rejeição de raios ultravioleta de no mínimo 95%?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A298A" w:rsidRPr="0045077E" w:rsidRDefault="00DA298A" w:rsidP="00DA298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 w:rsidRPr="0045077E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DA298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temperatura ambiente é mantida entre </w:t>
            </w:r>
            <w:r w:rsidR="00DA298A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°C e 2</w:t>
            </w:r>
            <w:r w:rsidR="00DA298A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°C?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A298A" w:rsidRPr="0045077E" w:rsidRDefault="00DA298A" w:rsidP="00DA298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As paredes são revestidas com material liso, lavável, impermeável que facilita a higienização?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A298A" w:rsidRPr="0045077E" w:rsidRDefault="00DA298A" w:rsidP="00DA298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 w:rsidRPr="0045077E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O piso é lavável, impermeável (com baixo grau de absorção de água) com acabamento liso, não escorregadio, com alto grau de resistência e durabilidade e com rejunte de igual característica?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DA298A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 w:rsidRPr="0045077E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8 </w:t>
            </w:r>
            <w:r w:rsidR="00306D2D" w:rsidRPr="0045077E">
              <w:rPr>
                <w:rFonts w:ascii="Arial" w:eastAsia="Arial" w:hAnsi="Arial" w:cs="Arial"/>
                <w:sz w:val="20"/>
                <w:szCs w:val="20"/>
              </w:rPr>
              <w:t>VII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Possui tomadas elétricas individuais para </w:t>
            </w:r>
            <w:r w:rsidRPr="0045077E">
              <w:rPr>
                <w:rFonts w:ascii="Arial" w:eastAsia="Arial" w:hAnsi="Arial" w:cs="Arial"/>
                <w:sz w:val="20"/>
                <w:szCs w:val="20"/>
                <w:highlight w:val="white"/>
              </w:rPr>
              <w:t>câmara de conservação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, equipamento de ar refrigerado e computador instaladas a altura de pelo menos a um metro do piso?</w:t>
            </w:r>
          </w:p>
          <w:p w:rsidR="00252625" w:rsidRPr="0045077E" w:rsidRDefault="00252625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C27BA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A298A" w:rsidRPr="0045077E" w:rsidRDefault="00DA298A" w:rsidP="00DA298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 w:rsidRPr="0045077E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 VIII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Possui disjuntor elétrico da sala de vacina ou sala de prestação de serviço farmacêutico de aplicação de vacina, devidamente 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identificado com a orientação: NÃO DESLIGUE/VACINAS?</w:t>
            </w:r>
          </w:p>
          <w:p w:rsidR="005C14EA" w:rsidRPr="0045077E" w:rsidRDefault="005C14EA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A298A" w:rsidRPr="0045077E" w:rsidRDefault="00DA298A" w:rsidP="00DA298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 w:rsidRPr="0045077E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trHeight w:val="291"/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EQUIPAMENTOS E MATERIAIS PERMANENTES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trHeight w:val="291"/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7A1B37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A1B3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Possui um ou mais </w:t>
            </w:r>
            <w:r w:rsidRPr="007A1B37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câmara </w:t>
            </w:r>
            <w:r w:rsidR="007A1B37" w:rsidRPr="007A1B37">
              <w:rPr>
                <w:rFonts w:ascii="Arial" w:eastAsia="Arial" w:hAnsi="Arial" w:cs="Arial"/>
                <w:sz w:val="20"/>
                <w:szCs w:val="20"/>
              </w:rPr>
              <w:t>refrigerada exclusiva</w:t>
            </w:r>
            <w:r w:rsidRPr="007A1B3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para armazenamento e conservação de produtos </w:t>
            </w:r>
            <w:proofErr w:type="spellStart"/>
            <w:r w:rsidRPr="007A1B37">
              <w:rPr>
                <w:rFonts w:ascii="Arial" w:eastAsia="Arial" w:hAnsi="Arial" w:cs="Arial"/>
                <w:color w:val="000000"/>
                <w:sz w:val="20"/>
                <w:szCs w:val="20"/>
              </w:rPr>
              <w:t>termolábeis</w:t>
            </w:r>
            <w:proofErr w:type="spellEnd"/>
            <w:r w:rsidRPr="007A1B3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1B37">
              <w:rPr>
                <w:rFonts w:ascii="Arial" w:eastAsia="Arial" w:hAnsi="Arial" w:cs="Arial"/>
                <w:color w:val="000000"/>
                <w:sz w:val="20"/>
                <w:szCs w:val="20"/>
              </w:rPr>
              <w:t>imunobiológicos</w:t>
            </w:r>
            <w:proofErr w:type="spellEnd"/>
            <w:r w:rsidRPr="007A1B3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); capacidade </w:t>
            </w:r>
            <w:r w:rsidR="007A1B37" w:rsidRPr="007A1B37">
              <w:rPr>
                <w:rFonts w:ascii="Arial" w:eastAsia="Arial" w:hAnsi="Arial" w:cs="Arial"/>
                <w:color w:val="000000"/>
                <w:sz w:val="20"/>
                <w:szCs w:val="20"/>
              </w:rPr>
              <w:t>mínima</w:t>
            </w:r>
            <w:r w:rsidRPr="007A1B3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2</w:t>
            </w:r>
            <w:r w:rsidR="007A1B37" w:rsidRPr="007A1B37">
              <w:rPr>
                <w:rFonts w:ascii="Arial" w:eastAsia="Arial" w:hAnsi="Arial" w:cs="Arial"/>
                <w:color w:val="000000"/>
                <w:sz w:val="20"/>
                <w:szCs w:val="20"/>
              </w:rPr>
              <w:t>00</w:t>
            </w:r>
            <w:r w:rsidRPr="007A1B3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litros; </w:t>
            </w:r>
            <w:r w:rsidR="007A1B37" w:rsidRPr="007A1B37">
              <w:rPr>
                <w:rFonts w:ascii="Arial" w:eastAsia="Arial" w:hAnsi="Arial" w:cs="Arial"/>
                <w:color w:val="000000"/>
                <w:sz w:val="20"/>
                <w:szCs w:val="20"/>
              </w:rPr>
              <w:t>com termômetro de mensuração de momento, máxima e mínima</w:t>
            </w:r>
            <w:r w:rsidRPr="007A1B37">
              <w:rPr>
                <w:rFonts w:ascii="Arial" w:eastAsia="Arial" w:hAnsi="Arial" w:cs="Arial"/>
                <w:color w:val="000000"/>
                <w:sz w:val="20"/>
                <w:szCs w:val="20"/>
              </w:rPr>
              <w:t>; com</w:t>
            </w:r>
            <w:r w:rsidR="007A1B37" w:rsidRPr="007A1B3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recurso de segurança </w:t>
            </w:r>
            <w:r w:rsidR="007A1B37" w:rsidRPr="007A1B37">
              <w:rPr>
                <w:rFonts w:ascii="Arial" w:hAnsi="Arial" w:cs="Arial"/>
                <w:sz w:val="20"/>
                <w:szCs w:val="20"/>
              </w:rPr>
              <w:t>com autonomia para suprimento emergencial de energia elétrica</w:t>
            </w:r>
            <w:r w:rsidR="007A1B37">
              <w:rPr>
                <w:rFonts w:ascii="Arial" w:hAnsi="Arial" w:cs="Arial"/>
                <w:sz w:val="20"/>
                <w:szCs w:val="20"/>
              </w:rPr>
              <w:t xml:space="preserve"> por no mínimo 12 horas</w:t>
            </w:r>
            <w:r w:rsidRPr="007A1B3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para o caso de falta de energia elétrica</w:t>
            </w:r>
            <w:r w:rsidR="007A1B3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 sistema de alarme e demais especificações conforme </w:t>
            </w:r>
            <w:r w:rsidR="007A1B37" w:rsidRPr="007A1B3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Manual </w:t>
            </w:r>
            <w:r w:rsidR="007A1B37" w:rsidRPr="007A1B37">
              <w:rPr>
                <w:rFonts w:ascii="Arial" w:hAnsi="Arial" w:cs="Arial"/>
                <w:sz w:val="20"/>
                <w:szCs w:val="20"/>
              </w:rPr>
              <w:t>de Rede de Frio do Ministério da Saúde</w:t>
            </w:r>
            <w:r w:rsidRPr="007A1B37"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  <w:p w:rsidR="00252625" w:rsidRPr="0045077E" w:rsidRDefault="00252625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A1B37" w:rsidRPr="0045077E" w:rsidRDefault="007A1B37" w:rsidP="007A1B37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I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trHeight w:val="291"/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O(s) equipamento(s) de refrigeração para guarda e conservação de vacinas está(</w:t>
            </w:r>
            <w:proofErr w:type="spell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ão</w:t>
            </w:r>
            <w:proofErr w:type="spell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) regularizado(s) perante a ANVISA?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B37" w:rsidRPr="0045077E" w:rsidRDefault="007A1B37" w:rsidP="007A1B37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I</w:t>
            </w:r>
          </w:p>
          <w:p w:rsidR="007A1B37" w:rsidRDefault="007A1B37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RDC n° 197 de 26/12/2017, Art. 10º – §2.</w:t>
            </w:r>
          </w:p>
        </w:tc>
      </w:tr>
      <w:tr w:rsidR="00252625" w:rsidRPr="0045077E" w:rsidTr="00DA298A">
        <w:trPr>
          <w:trHeight w:val="291"/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Possui </w:t>
            </w:r>
            <w:proofErr w:type="spell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climatizador</w:t>
            </w:r>
            <w:proofErr w:type="spell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 versão quente/frio, automático, compatível com o tamanho da sala de vacina?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A1B37" w:rsidRPr="0045077E" w:rsidRDefault="007A1B37" w:rsidP="007A1B37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trHeight w:val="287"/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Possui computador com acesso 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internet, 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ao Sistema de Informação do Programa Nacional de Imunizações – SIPNI?</w:t>
            </w:r>
          </w:p>
          <w:p w:rsidR="00252625" w:rsidRPr="0045077E" w:rsidRDefault="00252625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A1B37" w:rsidRPr="0045077E" w:rsidRDefault="007A1B37" w:rsidP="007A1B37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7A1B37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Possui pia com torneira sem balcão acoplado com acionamento por pedal ou outro mecanismo que evite a contaminação das mãos?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139FA" w:rsidRPr="0045077E" w:rsidRDefault="003139FA" w:rsidP="003139F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Possui dispensador de toalha de papel?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139FA" w:rsidRPr="0045077E" w:rsidRDefault="003139FA" w:rsidP="003139F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19 V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Possui dispensador de sabonete líquido </w:t>
            </w:r>
            <w:proofErr w:type="spell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degermante</w:t>
            </w:r>
            <w:proofErr w:type="spell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139FA" w:rsidRPr="0045077E" w:rsidRDefault="003139FA" w:rsidP="003139F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Possui dispensador de álcool gel?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139FA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19 </w:t>
            </w:r>
            <w:r w:rsidR="00306D2D" w:rsidRPr="0045077E">
              <w:rPr>
                <w:rFonts w:ascii="Arial" w:eastAsia="Arial" w:hAnsi="Arial" w:cs="Arial"/>
                <w:sz w:val="20"/>
                <w:szCs w:val="20"/>
              </w:rPr>
              <w:t>VII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Possui suporte para a lixeira de material </w:t>
            </w:r>
            <w:proofErr w:type="spell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perfurocortante</w:t>
            </w:r>
            <w:proofErr w:type="spell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, conforme as normas de biossegurança?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139FA" w:rsidP="003139F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19 VIII</w:t>
            </w: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Possui duas lixeiras com pedal, ou outro tipo de acionamento sem precisar utilizar as mãos, sendo uma para lixo contaminado e outra para lixo reciclável?</w:t>
            </w:r>
          </w:p>
          <w:p w:rsidR="00252625" w:rsidRPr="0045077E" w:rsidRDefault="00252625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139FA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19 </w:t>
            </w:r>
            <w:r w:rsidR="00306D2D" w:rsidRPr="0045077E">
              <w:rPr>
                <w:rFonts w:ascii="Arial" w:eastAsia="Arial" w:hAnsi="Arial" w:cs="Arial"/>
                <w:sz w:val="20"/>
                <w:szCs w:val="20"/>
              </w:rPr>
              <w:t>IX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Possui mesa de exame clínico ou similar, com colchonete ou similar, revestida de material impermeável e de fácil limpeza, para aplicação de vacina?</w:t>
            </w:r>
          </w:p>
          <w:p w:rsidR="00252625" w:rsidRPr="0045077E" w:rsidRDefault="00252625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139FA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19 </w:t>
            </w:r>
            <w:r w:rsidR="00306D2D" w:rsidRPr="0045077E"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Possui mesa para registros tipo escritório, escrivaninha, consultório ou similar de material de fácil desinfecção?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139FA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19 </w:t>
            </w:r>
            <w:r w:rsidR="00306D2D" w:rsidRPr="0045077E">
              <w:rPr>
                <w:rFonts w:ascii="Arial" w:eastAsia="Arial" w:hAnsi="Arial" w:cs="Arial"/>
                <w:sz w:val="20"/>
                <w:szCs w:val="20"/>
              </w:rPr>
              <w:t>XI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Possui três ou mais cadeiras revestidas de material de fácil limpeza e desinfecção?</w:t>
            </w:r>
          </w:p>
          <w:p w:rsidR="00252625" w:rsidRPr="0045077E" w:rsidRDefault="00252625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139FA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19 </w:t>
            </w:r>
            <w:r w:rsidR="00306D2D" w:rsidRPr="0045077E">
              <w:rPr>
                <w:rFonts w:ascii="Arial" w:eastAsia="Arial" w:hAnsi="Arial" w:cs="Arial"/>
                <w:sz w:val="20"/>
                <w:szCs w:val="20"/>
              </w:rPr>
              <w:t>XI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Possui um armário/balcão com portas para guarda de material de expediente, caixas térmicas e manuais?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139FA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19  </w:t>
            </w:r>
            <w:r w:rsidR="00306D2D" w:rsidRPr="0045077E">
              <w:rPr>
                <w:rFonts w:ascii="Arial" w:eastAsia="Arial" w:hAnsi="Arial" w:cs="Arial"/>
                <w:sz w:val="20"/>
                <w:szCs w:val="20"/>
              </w:rPr>
              <w:t>XIII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3139F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Possui bancada ou balcão com superfície de fácil limpeza e desinfecção, para preparo das vacinas?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139FA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19 </w:t>
            </w:r>
            <w:r w:rsidR="00306D2D" w:rsidRPr="0045077E">
              <w:rPr>
                <w:rFonts w:ascii="Arial" w:eastAsia="Arial" w:hAnsi="Arial" w:cs="Arial"/>
                <w:sz w:val="20"/>
                <w:szCs w:val="20"/>
              </w:rPr>
              <w:t>XII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Possui uma ou mais caixas de poliuretano de no mínimo 12 litros, densidade mínima de 35 kg/m³, com espessura de parede (isolamento térmico) de 2 a 3 cm, para acondicionamento de vacinas </w:t>
            </w:r>
            <w:proofErr w:type="gram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de  uso</w:t>
            </w:r>
            <w:proofErr w:type="gram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diário?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139FA" w:rsidRPr="0045077E" w:rsidRDefault="003139FA" w:rsidP="003139F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24 I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DB6B1B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Possui duas ou mais caixas de poliuretano de 28 a 36 litros, com espessura de parede (isolamento térmico) 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de no mínimo </w:t>
            </w:r>
            <w:r w:rsidR="003139FA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cm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, com densidades mínima de 35 kg/m</w:t>
            </w:r>
            <w:proofErr w:type="gram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³,para</w:t>
            </w:r>
            <w:proofErr w:type="gram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acondicionamento das vacinas durante o transporte, vacinação </w:t>
            </w:r>
            <w:proofErr w:type="spell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extramuro</w:t>
            </w:r>
            <w:proofErr w:type="spell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limpeza</w:t>
            </w:r>
            <w:r w:rsidR="0014261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dos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142613" w:rsidRPr="0045077E">
              <w:rPr>
                <w:rFonts w:ascii="Arial" w:eastAsia="Arial" w:hAnsi="Arial" w:cs="Arial"/>
                <w:sz w:val="20"/>
                <w:szCs w:val="20"/>
              </w:rPr>
              <w:t>câmaras de conservação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139FA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24 </w:t>
            </w:r>
            <w:r w:rsidR="00306D2D" w:rsidRPr="0045077E">
              <w:rPr>
                <w:rFonts w:ascii="Arial" w:eastAsia="Arial" w:hAnsi="Arial" w:cs="Arial"/>
                <w:sz w:val="20"/>
                <w:szCs w:val="20"/>
              </w:rPr>
              <w:t>II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3139FA" w:rsidRDefault="00306D2D" w:rsidP="003139F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139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Possui um termômetro </w:t>
            </w:r>
            <w:r w:rsidR="003139FA" w:rsidRPr="003139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digital </w:t>
            </w:r>
            <w:r w:rsidR="003139FA" w:rsidRPr="003139FA">
              <w:rPr>
                <w:rFonts w:ascii="Arial" w:hAnsi="Arial" w:cs="Arial"/>
                <w:sz w:val="20"/>
                <w:szCs w:val="20"/>
              </w:rPr>
              <w:t>com monitoramento de temperaturas máximas, mínimas e momento</w:t>
            </w:r>
            <w:r w:rsidRPr="003139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cabo extensor para cada caixa de poliuretano?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139FA" w:rsidRPr="0045077E" w:rsidRDefault="003139FA" w:rsidP="003139F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24 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DB6B1B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 </w:t>
            </w:r>
            <w:r w:rsidR="00306D2D" w:rsidRPr="0045077E">
              <w:rPr>
                <w:rFonts w:ascii="Arial" w:eastAsia="Arial" w:hAnsi="Arial" w:cs="Arial"/>
                <w:sz w:val="20"/>
                <w:szCs w:val="20"/>
              </w:rPr>
              <w:t xml:space="preserve">câmaras de conservação possuem dispositivo de monitoramento de temperatura, </w:t>
            </w:r>
            <w:r w:rsidR="00306D2D" w:rsidRPr="00DB6B1B">
              <w:rPr>
                <w:rFonts w:ascii="Arial" w:eastAsia="Arial" w:hAnsi="Arial" w:cs="Arial"/>
                <w:sz w:val="20"/>
                <w:szCs w:val="20"/>
              </w:rPr>
              <w:t>com</w:t>
            </w:r>
            <w:r w:rsidR="00306D2D" w:rsidRPr="0045077E">
              <w:rPr>
                <w:rFonts w:ascii="Arial" w:eastAsia="Arial" w:hAnsi="Arial" w:cs="Arial"/>
                <w:sz w:val="20"/>
                <w:szCs w:val="20"/>
              </w:rPr>
              <w:t xml:space="preserve"> registro de máxima, mínima e de momento?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B6B1B" w:rsidRPr="0045077E" w:rsidRDefault="00DB6B1B" w:rsidP="00DB6B1B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33 III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Possui bobinas de gelo reciclável de 500gr em número suficiente para atender as demandas de campanha e rotina?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139FA" w:rsidRPr="0045077E" w:rsidRDefault="003139FA" w:rsidP="003139F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24 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3139FA" w:rsidRDefault="00306D2D" w:rsidP="003139F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139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Possui </w:t>
            </w:r>
            <w:r w:rsidR="003139FA" w:rsidRPr="003139FA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="003139FA" w:rsidRPr="003139FA">
              <w:rPr>
                <w:rFonts w:ascii="Arial" w:hAnsi="Arial" w:cs="Arial"/>
                <w:sz w:val="20"/>
                <w:szCs w:val="20"/>
              </w:rPr>
              <w:t>rês ou mais recipientes vazados, impermeáveis e de fácil limpeza para acondicionamento das vacinas no interior da câmara refrigerada</w:t>
            </w:r>
            <w:r w:rsidRPr="003139FA"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139FA" w:rsidRPr="0045077E" w:rsidRDefault="003139FA" w:rsidP="003139F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24 VI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RECURSOS HUMANOS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O estabelecimento que realiza o serviço de vacinação tem um Responsável Técnico e um substituto?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C6" w:rsidRPr="0045077E" w:rsidRDefault="00643DC6" w:rsidP="00643DC6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  <w:p w:rsidR="00643DC6" w:rsidRDefault="00643DC6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3DC6" w:rsidRDefault="00643DC6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lastRenderedPageBreak/>
              <w:t>RDC Nº 197-ANVISA, de 26 de dezembro de 2017, Art. 7º</w:t>
            </w: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O serviço de vacinação conta com profissional legalmente habilitado para desenvolver as atividades de vacinação durante todo o período em que o serviço é oferecido?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C6" w:rsidRPr="00643DC6" w:rsidRDefault="00643DC6" w:rsidP="00643DC6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vertAlign w:val="subscript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§1º</w:t>
            </w:r>
          </w:p>
          <w:p w:rsidR="00643DC6" w:rsidRDefault="00643DC6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RDC Nº 197-ANVISA, de 26 de dezembro de 2017, Art. 8º</w:t>
            </w: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As atividades de preparo, manuseio, conservação e aplicação de vacina s</w:t>
            </w:r>
            <w:r w:rsidR="00920C0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ão realizadas por profissional 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devidamente habilitado pelo conselho de classe?</w:t>
            </w:r>
          </w:p>
          <w:p w:rsidR="00252625" w:rsidRPr="0045077E" w:rsidRDefault="00252625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43DC6" w:rsidRPr="00643DC6" w:rsidRDefault="00643DC6" w:rsidP="00643DC6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vertAlign w:val="subscript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16 </w:t>
            </w:r>
            <w:r>
              <w:rPr>
                <w:rFonts w:ascii="Arial" w:eastAsia="Arial" w:hAnsi="Arial" w:cs="Arial"/>
                <w:sz w:val="20"/>
                <w:szCs w:val="20"/>
              </w:rPr>
              <w:t>§4</w:t>
            </w:r>
            <w:r>
              <w:rPr>
                <w:rFonts w:ascii="Arial" w:eastAsia="Arial" w:hAnsi="Arial" w:cs="Arial"/>
                <w:sz w:val="20"/>
                <w:szCs w:val="20"/>
              </w:rPr>
              <w:t>º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O profissional de saúde tem certificado de Capacitação em Sala de Vacina emitido pela GEVIM/DIVE</w:t>
            </w:r>
            <w:r w:rsidR="00643DC6">
              <w:rPr>
                <w:rFonts w:ascii="Arial" w:eastAsia="Arial" w:hAnsi="Arial" w:cs="Arial"/>
                <w:sz w:val="20"/>
                <w:szCs w:val="20"/>
              </w:rPr>
              <w:t xml:space="preserve"> com carga horária de no mínimo 40 horas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252625" w:rsidRPr="0045077E" w:rsidRDefault="00306D2D" w:rsidP="005C14EA">
            <w:pPr>
              <w:pStyle w:val="Normal1"/>
              <w:spacing w:before="120"/>
              <w:ind w:left="7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(OBS: este certificado só é exigido para sala de vacina da rede pública de saúde).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C6" w:rsidRPr="00643DC6" w:rsidRDefault="00643DC6" w:rsidP="00643DC6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vertAlign w:val="subscript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16 §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º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Os profissionais envolvidos nos processos de vacinação são periodicamente capacitados pelo serviço nos seguintes temas relacionados à vacina:</w:t>
            </w:r>
          </w:p>
          <w:p w:rsidR="00920C0D" w:rsidRDefault="00306D2D" w:rsidP="005C14EA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conceitos</w:t>
            </w:r>
            <w:proofErr w:type="gram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básicos de vacinação;</w:t>
            </w:r>
          </w:p>
          <w:p w:rsidR="00252625" w:rsidRPr="00920C0D" w:rsidRDefault="00306D2D" w:rsidP="005C14EA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C0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20C0D">
              <w:rPr>
                <w:rFonts w:ascii="Arial" w:eastAsia="Arial" w:hAnsi="Arial" w:cs="Arial"/>
                <w:color w:val="000000"/>
                <w:sz w:val="20"/>
                <w:szCs w:val="20"/>
              </w:rPr>
              <w:t>conservação</w:t>
            </w:r>
            <w:proofErr w:type="gramEnd"/>
            <w:r w:rsidRPr="00920C0D">
              <w:rPr>
                <w:rFonts w:ascii="Arial" w:eastAsia="Arial" w:hAnsi="Arial" w:cs="Arial"/>
                <w:color w:val="000000"/>
                <w:sz w:val="20"/>
                <w:szCs w:val="20"/>
              </w:rPr>
              <w:t>, armazenamento e transporte;</w:t>
            </w:r>
          </w:p>
          <w:p w:rsidR="00252625" w:rsidRPr="0045077E" w:rsidRDefault="00306D2D" w:rsidP="005C14EA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preparo</w:t>
            </w:r>
            <w:proofErr w:type="gram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administração segura;</w:t>
            </w:r>
          </w:p>
          <w:p w:rsidR="00252625" w:rsidRPr="0045077E" w:rsidRDefault="00306D2D" w:rsidP="005C14EA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gerenciamento</w:t>
            </w:r>
            <w:proofErr w:type="gram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resíduos;</w:t>
            </w:r>
          </w:p>
          <w:p w:rsidR="00252625" w:rsidRPr="0045077E" w:rsidRDefault="00306D2D" w:rsidP="005C14EA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registros</w:t>
            </w:r>
            <w:proofErr w:type="gram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relacionados à vacinação;</w:t>
            </w:r>
          </w:p>
          <w:p w:rsidR="00252625" w:rsidRPr="0045077E" w:rsidRDefault="00306D2D" w:rsidP="005C14EA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processo</w:t>
            </w:r>
            <w:proofErr w:type="gram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para investigação e notificação de eventos adversos pós-vacinação e erros de vacinação;</w:t>
            </w:r>
          </w:p>
          <w:p w:rsidR="00252625" w:rsidRPr="0045077E" w:rsidRDefault="00306D2D" w:rsidP="005C14EA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Calendário Nacional de Vacinação do SUS vigente;</w:t>
            </w:r>
          </w:p>
          <w:p w:rsidR="00252625" w:rsidRPr="0045077E" w:rsidRDefault="00306D2D" w:rsidP="005C14EA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higienização das mãos; e</w:t>
            </w:r>
          </w:p>
          <w:p w:rsidR="00252625" w:rsidRPr="0045077E" w:rsidRDefault="00306D2D" w:rsidP="005C14EA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conduta</w:t>
            </w:r>
            <w:proofErr w:type="gram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ser adotada frente às possíveis intercorrências relacionadas à vacinação.</w:t>
            </w:r>
          </w:p>
          <w:p w:rsidR="00252625" w:rsidRPr="0045077E" w:rsidRDefault="00306D2D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9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Observações: As capacitações devem ser registradas contendo data, horário, carga horária, conteúdo ministrado, nome e a formação ou capacitação profissional do instrutor e dos profissionais envolvidos nos processos de vacinação.</w:t>
            </w:r>
          </w:p>
          <w:p w:rsidR="00252625" w:rsidRPr="0045077E" w:rsidRDefault="00252625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C6" w:rsidRPr="00643DC6" w:rsidRDefault="00643DC6" w:rsidP="00643DC6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vertAlign w:val="subscript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16 </w:t>
            </w:r>
            <w:r>
              <w:rPr>
                <w:rFonts w:ascii="Arial" w:eastAsia="Arial" w:hAnsi="Arial" w:cs="Arial"/>
                <w:sz w:val="20"/>
                <w:szCs w:val="20"/>
              </w:rPr>
              <w:t>§7</w:t>
            </w:r>
            <w:r>
              <w:rPr>
                <w:rFonts w:ascii="Arial" w:eastAsia="Arial" w:hAnsi="Arial" w:cs="Arial"/>
                <w:sz w:val="20"/>
                <w:szCs w:val="20"/>
              </w:rPr>
              <w:t>º</w:t>
            </w:r>
          </w:p>
          <w:p w:rsidR="00643DC6" w:rsidRDefault="00643DC6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RDC Nº 197-ANVISA, de 26 de dezembro de 2017, Art. 9º</w:t>
            </w: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VACINAÇÃO EXTRAMURO POR SERVIÇOS PRIVADOS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Possui </w:t>
            </w:r>
            <w:r w:rsidR="00920C0D" w:rsidRPr="00920C0D">
              <w:rPr>
                <w:rFonts w:ascii="Arial" w:hAnsi="Arial" w:cs="Arial"/>
                <w:sz w:val="20"/>
                <w:szCs w:val="20"/>
              </w:rPr>
              <w:t xml:space="preserve">Termo de Autorização Sanitária para o local onde será realizada a Vacinação </w:t>
            </w:r>
            <w:proofErr w:type="spellStart"/>
            <w:r w:rsidR="00920C0D" w:rsidRPr="00920C0D">
              <w:rPr>
                <w:rFonts w:ascii="Arial" w:hAnsi="Arial" w:cs="Arial"/>
                <w:sz w:val="20"/>
                <w:szCs w:val="20"/>
              </w:rPr>
              <w:t>Extramuro</w:t>
            </w:r>
            <w:proofErr w:type="spellEnd"/>
            <w:r w:rsidR="00920C0D" w:rsidRPr="00920C0D">
              <w:rPr>
                <w:rFonts w:ascii="Arial" w:hAnsi="Arial" w:cs="Arial"/>
                <w:sz w:val="20"/>
                <w:szCs w:val="20"/>
              </w:rPr>
              <w:t xml:space="preserve"> Esporádica</w:t>
            </w:r>
          </w:p>
          <w:p w:rsidR="00252625" w:rsidRPr="0045077E" w:rsidRDefault="00306D2D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9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Observação: A atividade de vacinação extramuros deve ser realizada somente por estabelecimento de vacinação licenciado</w:t>
            </w:r>
            <w:r w:rsidR="00920C0D">
              <w:rPr>
                <w:rFonts w:ascii="Arial" w:eastAsia="Arial" w:hAnsi="Arial" w:cs="Arial"/>
                <w:color w:val="000000"/>
                <w:sz w:val="20"/>
                <w:szCs w:val="20"/>
              </w:rPr>
              <w:t>, devendo constar no alvará</w:t>
            </w:r>
            <w:r w:rsidR="0014261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que o estabelecimento está licenciado para </w:t>
            </w:r>
            <w:r w:rsidR="00142613"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atividade de vacinação </w:t>
            </w:r>
            <w:proofErr w:type="spellStart"/>
            <w:r w:rsidR="00142613"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extramuro</w:t>
            </w:r>
            <w:proofErr w:type="spellEnd"/>
            <w:r w:rsidR="00142613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RD</w:t>
            </w:r>
            <w:r w:rsidR="00920C0D">
              <w:rPr>
                <w:rFonts w:ascii="Arial" w:eastAsia="Arial" w:hAnsi="Arial" w:cs="Arial"/>
                <w:sz w:val="20"/>
                <w:szCs w:val="20"/>
              </w:rPr>
              <w:t>C n° 197 de 26/12/2017, Art. 17</w:t>
            </w:r>
          </w:p>
          <w:p w:rsidR="00643DC6" w:rsidRPr="00643DC6" w:rsidRDefault="00643DC6" w:rsidP="00643DC6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vertAlign w:val="subscript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47 </w:t>
            </w:r>
          </w:p>
          <w:p w:rsidR="00920C0D" w:rsidRPr="0045077E" w:rsidRDefault="00920C0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C14E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Observa todas as diretrizes relacionadas aos recursos humanos, ao gerenciamento de tecnologias e processos, e aos registros e notificações?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lastRenderedPageBreak/>
              <w:t>RDC n° 197 de 26/12/2017, Art. 17º § 1º</w:t>
            </w: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5C14EA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É ofertado somente um tipo de </w:t>
            </w:r>
            <w:proofErr w:type="spell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imunobiológico</w:t>
            </w:r>
            <w:proofErr w:type="spell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C6" w:rsidRPr="00643DC6" w:rsidRDefault="00643DC6" w:rsidP="00643DC6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vertAlign w:val="subscript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A aplicação da vacina, quando delegada a um profissional técnico auxiliar, é realizada sob supervisão de um responsável técnico?</w:t>
            </w:r>
          </w:p>
          <w:p w:rsidR="00562F89" w:rsidRPr="0045077E" w:rsidRDefault="00562F89" w:rsidP="00562F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52625" w:rsidRPr="0045077E" w:rsidRDefault="00562F89" w:rsidP="00562F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(OBS: </w:t>
            </w:r>
            <w:r>
              <w:rPr>
                <w:rFonts w:ascii="Arial" w:eastAsia="Arial" w:hAnsi="Arial" w:cs="Arial"/>
                <w:sz w:val="20"/>
                <w:szCs w:val="20"/>
              </w:rPr>
              <w:t>somente válido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para sala de vacina da rede pública de saúde).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562F89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62F89">
              <w:rPr>
                <w:rFonts w:ascii="Arial" w:eastAsia="Arial" w:hAnsi="Arial" w:cs="Arial"/>
                <w:sz w:val="20"/>
                <w:szCs w:val="20"/>
              </w:rPr>
              <w:t xml:space="preserve">Portaria n° 985 da SES/SC </w:t>
            </w:r>
            <w:proofErr w:type="gramStart"/>
            <w:r w:rsidRPr="00562F89">
              <w:rPr>
                <w:rFonts w:ascii="Arial" w:eastAsia="Arial" w:hAnsi="Arial" w:cs="Arial"/>
                <w:sz w:val="20"/>
                <w:szCs w:val="20"/>
              </w:rPr>
              <w:t>2020  Art.</w:t>
            </w:r>
            <w:proofErr w:type="gramEnd"/>
            <w:r w:rsidRPr="00562F89">
              <w:rPr>
                <w:rFonts w:ascii="Arial" w:eastAsia="Arial" w:hAnsi="Arial" w:cs="Arial"/>
                <w:sz w:val="20"/>
                <w:szCs w:val="20"/>
              </w:rPr>
              <w:t>16 §9º</w:t>
            </w: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SUPRIMENTOS E DISTRIBUIÇÃO DAS VACINAS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562F89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Cs w:val="20"/>
                <w:vertAlign w:val="subscript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estabelecimento público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>, a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s vacinas são fornecidas pelo Programa Nacional de Imunização do Ministério da Saúde (PNI/MS), distribuídas pela Secretaria Estadual de Saúde (SES) às Gerências Regionais de Saúde e destas aos municípios?</w:t>
            </w:r>
          </w:p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(OBS: É de responsabilidade dos municípios a distribuição para as salas de vacina. Não é permitido em sala de vacina da rede pública o acondicionamento e a aplicação de </w:t>
            </w:r>
            <w:proofErr w:type="spell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imunobiológicos</w:t>
            </w:r>
            <w:proofErr w:type="spell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doados por outras instituições ou estabelecimentos privados de saúde.</w:t>
            </w:r>
          </w:p>
          <w:p w:rsidR="00252625" w:rsidRPr="0045077E" w:rsidRDefault="00252625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562F89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142613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Se estabelecimento privado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>, a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s vacinas utilizadas são registradas na ANVISA/MS?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562F89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EMISSÃO DE CERTIFICADO INTERNACIONAL DE VACINAÇÃO OU PROFILAXIA (CIVP)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O serviço de vacinação é credenciado pela ANVISA para a emissão do CIVP?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RDC n° 197 de 26/12/2017, Art. 18º</w:t>
            </w: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A emissão do CIVP segue os padrões definidos pela ANVISA?</w:t>
            </w:r>
          </w:p>
          <w:p w:rsidR="00142613" w:rsidRDefault="00142613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52625" w:rsidRPr="0045077E" w:rsidRDefault="00306D2D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Observação: A emissão do CIVP deverá ser realizada de forma gratuita.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RDC n° 197 de 26/12/2017, Art. 19º</w:t>
            </w: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Registra a emissão do CIVP em sistema de informação estabelecido pela ANVISA?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RDC Nº 197-ANVISA, de 26/12/2017, Art. 19º- § 2º</w:t>
            </w: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GERENCIAMENTO DE TECNOLOGIAS E DE PROCESSOS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O serviço de vacinação adota procedimentos para preservar a qualidade e a integridade das vacinas quando há necessidade de transportá-las?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RDC n° 197 de 26/12/2017, Art. 12º</w:t>
            </w: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As vacinas são transportadas em caixas térmicas que mantenham as condições de conservação indicadas pelo fabricante?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RDC Nº 197-ANVISA, de 26/12/2017, Art. 12º- § 1º</w:t>
            </w: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A temperatura ao longo de todo o transporte das vacinas é monitorada com o registro das temperaturas mínima e máxima?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RDC Nº 197-ANVISA, de 26/12/2017, Art. 12º- § 2º</w:t>
            </w: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O serviço de vacinação garante o atendimento imediato às possíveis intercorrências relacionadas à vacinação?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RDC n° 197 de 26/12/2017, Art. 13º</w:t>
            </w: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O serviço de vacinação garante o encaminhamento ao serviço de maior complexidade para a continuidade da atenção, caso necessário?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RDC n° 197 de 26/12/2017, Art. 13º</w:t>
            </w: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Em caso de estabelecimento privado: quando administra vacinas que não estão contempladas no Calendário Nacional de Vacinação do SUS, faz essa administração mediante prescrição médica?</w:t>
            </w:r>
          </w:p>
          <w:p w:rsidR="00142613" w:rsidRDefault="00142613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52625" w:rsidRPr="0045077E" w:rsidRDefault="00306D2D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Observação: A dispensação deve necessariamente estar vinculada à administração da vacina.</w:t>
            </w:r>
          </w:p>
          <w:p w:rsidR="00252625" w:rsidRPr="0045077E" w:rsidRDefault="00252625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RDC n° 197 de 26/12/2017, Art. 14º</w:t>
            </w: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BUSCA DE FALTOSOS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Realiza mensalmente a busca de faltosos, tanto para adultos como para crianças utilizando fichário rotativo ou relatório de sistema de informação?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562F89" w:rsidP="00562F89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FLUXO DE INFORMAÇÕES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Notifica a ocorrência de eventos adversos pós-vacinação (EAPV) conforme determinações do Ministério da Saúde;</w:t>
            </w:r>
          </w:p>
          <w:p w:rsidR="00252625" w:rsidRPr="0045077E" w:rsidRDefault="00252625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RDC n° 197 de 26/12/2017, Art. 15º - IV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Notifica a ocorrência de erros de vacinação no sistema de notificação da Anvisa; e i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nvestiga incidentes e falhas em seus processos que podem ter contribuído para a ocorrência de erros de vacinação?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RDC n° 197 de 26/12/2017, Art. 15º - V, VI</w:t>
            </w: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62F89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Mensalmente, o responsável pela sala de vacinação informa ao </w:t>
            </w:r>
            <w:r w:rsidR="00562F89">
              <w:rPr>
                <w:rFonts w:ascii="Arial" w:eastAsia="Arial" w:hAnsi="Arial" w:cs="Arial"/>
                <w:color w:val="000000"/>
                <w:sz w:val="20"/>
                <w:szCs w:val="20"/>
              </w:rPr>
              <w:t>PNI/MS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número de doses aplicadas?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562F89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5C14EA" w:rsidP="005C14EA">
            <w:pPr>
              <w:pStyle w:val="Normal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REGISTROS,</w:t>
            </w:r>
            <w:r w:rsidR="00ED7B2D" w:rsidRPr="0045077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06D2D" w:rsidRPr="0045077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DOCUMENTOS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 NOTIFICAÇÕES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Possui Alvará Sanitário expedido pelo órgão municipal competente?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RDC n° 197 de 26/12/2017, Art. 4º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O estab</w:t>
            </w:r>
            <w:r w:rsidR="00ED7B2D"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elecimento está inscrito e manté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 seu dados </w:t>
            </w:r>
            <w:proofErr w:type="gram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atualizados  no</w:t>
            </w:r>
            <w:proofErr w:type="gram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Cadastro Nacional de Estabelecimentos de Saúde – CNES?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RDC Nº 197-ANVISA, de 26 de dezembro de 2017, 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Art. 5º</w:t>
            </w: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Possui Termo de Credenciamento junto à Gerência de Vigilância de Doenças </w:t>
            </w:r>
            <w:proofErr w:type="spell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Imunopreveníveis</w:t>
            </w:r>
            <w:proofErr w:type="spell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Imunização (GEVIM) da Diretoria de Vigilância Epidemiológica (DIVE) da Secretaria Estadual de Saúde (SES/SC)?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562F89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2D" w:rsidRPr="0045077E" w:rsidRDefault="00ED7B2D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Mantém prontuário individual, com registro de todas as vacinas aplicadas, acessível aos usuários e autoridades sanitárias?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RDC n° 197 de 26/12/2017, Art. 15º - II</w:t>
            </w: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Possui afixado em local visível ao usuário, o Calendário Nacional de Vacinação do SUS, com a indicação das vacinas disponibilizadas neste calendário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  <w:p w:rsidR="00252625" w:rsidRPr="0045077E" w:rsidRDefault="00252625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RDC n° 197 de 26/12/2017, Art. 6º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Mantém cópia das licenças sanitárias dos transportadores e distribuidores?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562F89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Mantém cópias das Autorizações de Funcionamento – </w:t>
            </w:r>
            <w:proofErr w:type="spell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AFEs</w:t>
            </w:r>
            <w:proofErr w:type="spell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 ANVISA 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atualizadas dos distribuidores e dos transportadores das vacinas?</w:t>
            </w:r>
          </w:p>
          <w:p w:rsidR="00252625" w:rsidRPr="0045077E" w:rsidRDefault="00252625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F89" w:rsidRPr="0045077E" w:rsidRDefault="00562F89" w:rsidP="00562F89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Mantém as notas fiscais de compra das vacinas possibilitando a rastreabilidade dos lotes (devendo ser mantidas no estabelecimento no período mínimo de 2 anos para fins de fiscalização)?</w:t>
            </w:r>
          </w:p>
          <w:p w:rsidR="00252625" w:rsidRPr="0045077E" w:rsidRDefault="00252625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F89" w:rsidRPr="0045077E" w:rsidRDefault="00562F89" w:rsidP="00562F89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2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52625" w:rsidRPr="0045077E" w:rsidRDefault="00306D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No cartão de vacinação consta</w:t>
            </w:r>
            <w:r w:rsidR="00845D51"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, de forma legível, no mínimo as seguintes informações:</w:t>
            </w:r>
          </w:p>
          <w:p w:rsidR="00845D51" w:rsidRPr="0045077E" w:rsidRDefault="00845D51" w:rsidP="005C14EA">
            <w:pPr>
              <w:pStyle w:val="Normal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52625" w:rsidRPr="0045077E" w:rsidRDefault="00306D2D" w:rsidP="005C14EA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dados</w:t>
            </w:r>
            <w:proofErr w:type="gram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 vacinado (nome completo, documento de identificação, data de nascimento);</w:t>
            </w:r>
          </w:p>
          <w:p w:rsidR="00252625" w:rsidRPr="0045077E" w:rsidRDefault="00306D2D" w:rsidP="005C14EA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nome</w:t>
            </w:r>
            <w:proofErr w:type="gram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 vacina;</w:t>
            </w:r>
          </w:p>
          <w:p w:rsidR="00252625" w:rsidRPr="0045077E" w:rsidRDefault="00306D2D" w:rsidP="005C14EA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dose</w:t>
            </w:r>
            <w:proofErr w:type="gram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aplicada;</w:t>
            </w:r>
          </w:p>
          <w:p w:rsidR="00252625" w:rsidRPr="0045077E" w:rsidRDefault="00306D2D" w:rsidP="005C14EA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data</w:t>
            </w:r>
            <w:proofErr w:type="gram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 vacinação;</w:t>
            </w:r>
          </w:p>
          <w:p w:rsidR="00252625" w:rsidRPr="0045077E" w:rsidRDefault="00306D2D" w:rsidP="005C14EA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número</w:t>
            </w:r>
            <w:proofErr w:type="gram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 lote da vacina;</w:t>
            </w:r>
          </w:p>
          <w:p w:rsidR="00252625" w:rsidRPr="0045077E" w:rsidRDefault="00306D2D" w:rsidP="005C14EA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nome</w:t>
            </w:r>
            <w:proofErr w:type="gram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 fabricante</w:t>
            </w:r>
          </w:p>
          <w:p w:rsidR="00252625" w:rsidRPr="0045077E" w:rsidRDefault="00306D2D" w:rsidP="005C14EA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identificação</w:t>
            </w:r>
            <w:proofErr w:type="gram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 estabelecimento;</w:t>
            </w:r>
          </w:p>
          <w:p w:rsidR="00920C0D" w:rsidRDefault="00306D2D" w:rsidP="005C14EA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identificação</w:t>
            </w:r>
            <w:proofErr w:type="gram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 vacinador; e</w:t>
            </w:r>
          </w:p>
          <w:p w:rsidR="00252625" w:rsidRPr="00920C0D" w:rsidRDefault="00306D2D" w:rsidP="005C14EA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920C0D">
              <w:rPr>
                <w:rFonts w:ascii="Arial" w:eastAsia="Arial" w:hAnsi="Arial" w:cs="Arial"/>
                <w:color w:val="000000"/>
                <w:sz w:val="20"/>
                <w:szCs w:val="20"/>
              </w:rPr>
              <w:t>data</w:t>
            </w:r>
            <w:proofErr w:type="gramEnd"/>
            <w:r w:rsidRPr="00920C0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 próxima dose, quando aplicável.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06D2D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RDC n° 197 de 26/12/2017, Art. 16º- I a IX</w:t>
            </w:r>
          </w:p>
        </w:tc>
      </w:tr>
      <w:tr w:rsidR="00252625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ED7B2D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hAnsi="Arial" w:cs="Arial"/>
                <w:sz w:val="20"/>
                <w:szCs w:val="20"/>
              </w:rPr>
              <w:t>Documento emitido pelo órgão de classe homologando a Responsabilidade Técnica;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252625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8E1157" w:rsidP="008E1157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D7B2D" w:rsidRPr="0045077E">
              <w:rPr>
                <w:rFonts w:ascii="Arial" w:eastAsia="Arial" w:hAnsi="Arial" w:cs="Arial"/>
                <w:sz w:val="20"/>
                <w:szCs w:val="20"/>
              </w:rPr>
              <w:t>IV</w:t>
            </w:r>
          </w:p>
        </w:tc>
      </w:tr>
      <w:tr w:rsidR="00142613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São mantidos no estabelecimento para fins de fiscalização os registros das doses aplicadas?</w:t>
            </w:r>
          </w:p>
          <w:p w:rsidR="00142613" w:rsidRPr="0045077E" w:rsidRDefault="00142613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E1157" w:rsidRPr="0045077E" w:rsidRDefault="008E1157" w:rsidP="008E1157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2613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142613" w:rsidRDefault="00142613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estabelecimento de saúde mantém o registro de aplicação de vacinas no SIPNI- </w:t>
            </w:r>
            <w:r w:rsidRPr="00142613">
              <w:rPr>
                <w:rFonts w:ascii="Arial" w:eastAsia="Arial" w:hAnsi="Arial" w:cs="Arial"/>
                <w:color w:val="000000"/>
                <w:sz w:val="20"/>
                <w:szCs w:val="20"/>
              </w:rPr>
              <w:t>Sistema de Informações do Programa Nacional de Imunizações?</w:t>
            </w:r>
          </w:p>
          <w:p w:rsidR="00142613" w:rsidRPr="0045077E" w:rsidRDefault="00142613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157" w:rsidRPr="0045077E" w:rsidRDefault="008E1157" w:rsidP="008E1157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2613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Mantém no serviço, acessíveis à autoridade sanitária, documentos que comprovem a origem das vacinas utilizadas?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RDC n° 197 de 26/12/2017, Art. 15º -III</w:t>
            </w:r>
          </w:p>
        </w:tc>
      </w:tr>
      <w:tr w:rsidR="00142613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142613" w:rsidRDefault="00142613" w:rsidP="00DB6B1B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Mantém registro da verificação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da 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temperatura</w:t>
            </w:r>
            <w:proofErr w:type="gramEnd"/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45077E">
              <w:rPr>
                <w:rFonts w:ascii="Arial" w:eastAsia="Arial" w:hAnsi="Arial" w:cs="Arial"/>
                <w:sz w:val="20"/>
                <w:szCs w:val="20"/>
                <w:highlight w:val="white"/>
              </w:rPr>
              <w:t>câmara de conservação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no início e no fim de cada expediente?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E1157" w:rsidRPr="0045077E" w:rsidRDefault="008E1157" w:rsidP="008E1157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33 III</w:t>
            </w:r>
          </w:p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2613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Em caso de farmácia ou drogaria,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mantém registro da</w:t>
            </w: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Declaração de Serviço Farmacêutico?</w:t>
            </w:r>
          </w:p>
          <w:p w:rsidR="00142613" w:rsidRPr="0045077E" w:rsidRDefault="00142613" w:rsidP="005C14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157" w:rsidRPr="0045077E" w:rsidRDefault="008E1157" w:rsidP="008E1157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33 IV</w:t>
            </w:r>
          </w:p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2613" w:rsidRPr="0045077E" w:rsidTr="00DA298A">
        <w:trPr>
          <w:jc w:val="center"/>
        </w:trPr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color w:val="000000"/>
                <w:sz w:val="20"/>
                <w:szCs w:val="20"/>
              </w:rPr>
              <w:t>São enviados mensalmente os registros das doses aplicadas por indivíduo e faixa etária?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157" w:rsidRPr="0045077E" w:rsidRDefault="008E1157" w:rsidP="008E1157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Portaria n° </w:t>
            </w:r>
            <w:r>
              <w:rPr>
                <w:rFonts w:ascii="Arial" w:eastAsia="Arial" w:hAnsi="Arial" w:cs="Arial"/>
                <w:sz w:val="20"/>
                <w:szCs w:val="20"/>
              </w:rPr>
              <w:t>985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da SES/SC </w:t>
            </w:r>
            <w:proofErr w:type="gramStart"/>
            <w:r w:rsidRPr="0045077E"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 Art.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  <w:r w:rsidRPr="004507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42613" w:rsidRPr="0045077E" w:rsidRDefault="00142613" w:rsidP="005C14EA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52625" w:rsidRPr="0045077E" w:rsidRDefault="00252625" w:rsidP="00DB6B1B">
      <w:pPr>
        <w:pStyle w:val="Normal1"/>
        <w:rPr>
          <w:rFonts w:ascii="Arial" w:eastAsia="Arial" w:hAnsi="Arial" w:cs="Arial"/>
          <w:sz w:val="20"/>
          <w:szCs w:val="20"/>
        </w:rPr>
      </w:pPr>
    </w:p>
    <w:p w:rsidR="00DB6B1B" w:rsidRPr="0045077E" w:rsidRDefault="00306D2D" w:rsidP="00DB6B1B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 w:rsidRPr="0045077E">
        <w:rPr>
          <w:rFonts w:ascii="Arial" w:eastAsia="Arial" w:hAnsi="Arial" w:cs="Arial"/>
          <w:i/>
          <w:sz w:val="20"/>
          <w:szCs w:val="20"/>
        </w:rPr>
        <w:t xml:space="preserve">OBS.: Para a realização da VACINAÇÃO EXTRAMURO ESPORÁDICA, o Responsável Técnico deverá requerer junto a VISA Municipal o TERMO DE AUTORIZAÇÃO SANITÁRIA para a atividade, de acordo com </w:t>
      </w:r>
      <w:r w:rsidR="00DB6B1B" w:rsidRPr="0045077E">
        <w:rPr>
          <w:rFonts w:ascii="Arial" w:eastAsia="Arial" w:hAnsi="Arial" w:cs="Arial"/>
          <w:sz w:val="20"/>
          <w:szCs w:val="20"/>
        </w:rPr>
        <w:t xml:space="preserve">Portaria n° </w:t>
      </w:r>
      <w:r w:rsidR="00DB6B1B">
        <w:rPr>
          <w:rFonts w:ascii="Arial" w:eastAsia="Arial" w:hAnsi="Arial" w:cs="Arial"/>
          <w:sz w:val="20"/>
          <w:szCs w:val="20"/>
        </w:rPr>
        <w:t>985</w:t>
      </w:r>
      <w:r w:rsidR="00DB6B1B" w:rsidRPr="0045077E">
        <w:rPr>
          <w:rFonts w:ascii="Arial" w:eastAsia="Arial" w:hAnsi="Arial" w:cs="Arial"/>
          <w:sz w:val="20"/>
          <w:szCs w:val="20"/>
        </w:rPr>
        <w:t xml:space="preserve"> da SES/SC 20</w:t>
      </w:r>
      <w:r w:rsidR="00DB6B1B">
        <w:rPr>
          <w:rFonts w:ascii="Arial" w:eastAsia="Arial" w:hAnsi="Arial" w:cs="Arial"/>
          <w:sz w:val="20"/>
          <w:szCs w:val="20"/>
        </w:rPr>
        <w:t>20</w:t>
      </w:r>
      <w:r w:rsidR="00DB6B1B">
        <w:rPr>
          <w:rFonts w:ascii="Arial" w:eastAsia="Arial" w:hAnsi="Arial" w:cs="Arial"/>
          <w:sz w:val="20"/>
          <w:szCs w:val="20"/>
        </w:rPr>
        <w:t xml:space="preserve"> Artigo 47 Anexo I</w:t>
      </w:r>
      <w:bookmarkStart w:id="0" w:name="_GoBack"/>
      <w:bookmarkEnd w:id="0"/>
    </w:p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:rsidR="00252625" w:rsidRPr="0045077E" w:rsidRDefault="00306D2D" w:rsidP="0045077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 w:rsidRPr="0045077E">
        <w:rPr>
          <w:rFonts w:ascii="Arial" w:eastAsia="Arial" w:hAnsi="Arial" w:cs="Arial"/>
          <w:sz w:val="20"/>
          <w:szCs w:val="20"/>
        </w:rPr>
        <w:t xml:space="preserve">Veículos de Transporte </w:t>
      </w:r>
      <w:proofErr w:type="gramStart"/>
      <w:r w:rsidRPr="0045077E">
        <w:rPr>
          <w:rFonts w:ascii="Arial" w:eastAsia="Arial" w:hAnsi="Arial" w:cs="Arial"/>
          <w:sz w:val="20"/>
          <w:szCs w:val="20"/>
        </w:rPr>
        <w:t xml:space="preserve">(  </w:t>
      </w:r>
      <w:proofErr w:type="gramEnd"/>
      <w:r w:rsidRPr="0045077E">
        <w:rPr>
          <w:rFonts w:ascii="Arial" w:eastAsia="Arial" w:hAnsi="Arial" w:cs="Arial"/>
          <w:sz w:val="20"/>
          <w:szCs w:val="20"/>
        </w:rPr>
        <w:t xml:space="preserve"> ) Não              (   )Sim  Quantos? ________</w:t>
      </w:r>
    </w:p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4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52625" w:rsidRPr="0045077E">
        <w:trPr>
          <w:trHeight w:val="523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Nº. Total de Trabalhadores no estabelecimento:  _______</w:t>
            </w:r>
          </w:p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sz w:val="20"/>
                <w:szCs w:val="20"/>
              </w:rPr>
              <w:t>Homens: ______                         Mulheres: _______</w:t>
            </w:r>
          </w:p>
        </w:tc>
      </w:tr>
    </w:tbl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:rsidR="00252625" w:rsidRPr="0045077E" w:rsidRDefault="00306D2D" w:rsidP="0045077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 w:rsidRPr="0045077E">
        <w:rPr>
          <w:rFonts w:ascii="Arial" w:eastAsia="Arial" w:hAnsi="Arial" w:cs="Arial"/>
          <w:b/>
          <w:sz w:val="20"/>
          <w:szCs w:val="20"/>
        </w:rPr>
        <w:t>OBS:</w:t>
      </w:r>
    </w:p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:rsidR="00252625" w:rsidRPr="0045077E" w:rsidRDefault="00306D2D" w:rsidP="0045077E">
      <w:pPr>
        <w:pStyle w:val="Normal1"/>
        <w:numPr>
          <w:ilvl w:val="0"/>
          <w:numId w:val="4"/>
        </w:numPr>
        <w:ind w:left="180" w:right="-852" w:hanging="180"/>
        <w:jc w:val="both"/>
        <w:rPr>
          <w:rFonts w:ascii="Arial" w:eastAsia="Arial" w:hAnsi="Arial" w:cs="Arial"/>
          <w:sz w:val="20"/>
          <w:szCs w:val="20"/>
        </w:rPr>
      </w:pPr>
      <w:r w:rsidRPr="0045077E">
        <w:rPr>
          <w:rFonts w:ascii="Arial" w:eastAsia="Arial" w:hAnsi="Arial" w:cs="Arial"/>
          <w:sz w:val="20"/>
          <w:szCs w:val="20"/>
        </w:rPr>
        <w:t xml:space="preserve">– A Autoridade de Saúde, no exercício de suas atribuições, poderá exigir além dos itens relacionados </w:t>
      </w:r>
      <w:proofErr w:type="spellStart"/>
      <w:r w:rsidRPr="0045077E">
        <w:rPr>
          <w:rFonts w:ascii="Arial" w:eastAsia="Arial" w:hAnsi="Arial" w:cs="Arial"/>
          <w:sz w:val="20"/>
          <w:szCs w:val="20"/>
        </w:rPr>
        <w:t>neste</w:t>
      </w:r>
      <w:proofErr w:type="spellEnd"/>
      <w:r w:rsidRPr="0045077E">
        <w:rPr>
          <w:rFonts w:ascii="Arial" w:eastAsia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:rsidR="00252625" w:rsidRPr="0045077E" w:rsidRDefault="00306D2D" w:rsidP="0045077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 w:rsidRPr="0045077E">
        <w:rPr>
          <w:rFonts w:ascii="Arial" w:eastAsia="Arial" w:hAnsi="Arial" w:cs="Arial"/>
          <w:b/>
          <w:sz w:val="20"/>
          <w:szCs w:val="20"/>
        </w:rPr>
        <w:t>Data do preenchimento do Roteiro de Auto Inspeção: _____/______/________.</w:t>
      </w:r>
    </w:p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:rsidR="00252625" w:rsidRPr="0045077E" w:rsidRDefault="00306D2D" w:rsidP="0045077E">
      <w:pPr>
        <w:pStyle w:val="Normal1"/>
        <w:ind w:right="-852"/>
        <w:jc w:val="both"/>
        <w:rPr>
          <w:rFonts w:ascii="Arial" w:eastAsia="Arial" w:hAnsi="Arial" w:cs="Arial"/>
          <w:sz w:val="20"/>
          <w:szCs w:val="20"/>
        </w:rPr>
      </w:pPr>
      <w:r w:rsidRPr="0045077E">
        <w:rPr>
          <w:rFonts w:ascii="Arial" w:eastAsia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tbl>
      <w:tblPr>
        <w:tblStyle w:val="a1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252625" w:rsidRPr="0045077E">
        <w:tc>
          <w:tcPr>
            <w:tcW w:w="5070" w:type="dxa"/>
            <w:tcBorders>
              <w:bottom w:val="single" w:sz="4" w:space="0" w:color="000000"/>
            </w:tcBorders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</w:tcPr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>
        <w:trPr>
          <w:trHeight w:val="730"/>
        </w:trPr>
        <w:tc>
          <w:tcPr>
            <w:tcW w:w="5070" w:type="dxa"/>
            <w:tcBorders>
              <w:bottom w:val="single" w:sz="4" w:space="0" w:color="000000"/>
            </w:tcBorders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252625" w:rsidRPr="0045077E" w:rsidRDefault="00306D2D" w:rsidP="0045077E">
      <w:pPr>
        <w:pStyle w:val="Normal1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45077E">
        <w:rPr>
          <w:rFonts w:ascii="Arial" w:eastAsia="Arial" w:hAnsi="Arial" w:cs="Arial"/>
          <w:sz w:val="20"/>
          <w:szCs w:val="20"/>
          <w:u w:val="single"/>
        </w:rPr>
        <w:t>A ser preenchido pelo fiscal no momento da(s) vistoria(s):</w:t>
      </w:r>
    </w:p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252625" w:rsidRPr="0045077E" w:rsidRDefault="00306D2D" w:rsidP="0045077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  <w:r w:rsidRPr="0045077E">
        <w:rPr>
          <w:rFonts w:ascii="Arial" w:eastAsia="Arial" w:hAnsi="Arial" w:cs="Arial"/>
          <w:b/>
          <w:sz w:val="20"/>
          <w:szCs w:val="20"/>
        </w:rPr>
        <w:t>Observações:</w:t>
      </w:r>
    </w:p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2"/>
        <w:tblW w:w="9426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6"/>
      </w:tblGrid>
      <w:tr w:rsidR="00252625" w:rsidRPr="0045077E">
        <w:tc>
          <w:tcPr>
            <w:tcW w:w="9426" w:type="dxa"/>
          </w:tcPr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252625" w:rsidRPr="0045077E">
        <w:tc>
          <w:tcPr>
            <w:tcW w:w="9426" w:type="dxa"/>
          </w:tcPr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252625" w:rsidRPr="0045077E">
        <w:tc>
          <w:tcPr>
            <w:tcW w:w="9426" w:type="dxa"/>
          </w:tcPr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252625" w:rsidRPr="0045077E">
        <w:tc>
          <w:tcPr>
            <w:tcW w:w="9426" w:type="dxa"/>
          </w:tcPr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252625" w:rsidRPr="0045077E">
        <w:tc>
          <w:tcPr>
            <w:tcW w:w="9426" w:type="dxa"/>
          </w:tcPr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252625" w:rsidRPr="0045077E">
        <w:tc>
          <w:tcPr>
            <w:tcW w:w="9426" w:type="dxa"/>
          </w:tcPr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252625" w:rsidRPr="0045077E">
        <w:tc>
          <w:tcPr>
            <w:tcW w:w="9426" w:type="dxa"/>
          </w:tcPr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252625" w:rsidRPr="0045077E">
        <w:tc>
          <w:tcPr>
            <w:tcW w:w="9426" w:type="dxa"/>
          </w:tcPr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</w:tbl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3155"/>
        <w:gridCol w:w="3155"/>
      </w:tblGrid>
      <w:tr w:rsidR="00252625" w:rsidRPr="0045077E">
        <w:tc>
          <w:tcPr>
            <w:tcW w:w="3154" w:type="dxa"/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Data vistoria:</w:t>
            </w: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3155" w:type="dxa"/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Data vistoria:</w:t>
            </w: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3155" w:type="dxa"/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Data vistoria:</w:t>
            </w: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252625" w:rsidRPr="0045077E">
        <w:tc>
          <w:tcPr>
            <w:tcW w:w="3154" w:type="dxa"/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5" w:type="dxa"/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3155" w:type="dxa"/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252625" w:rsidRPr="0045077E">
        <w:tc>
          <w:tcPr>
            <w:tcW w:w="3154" w:type="dxa"/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Assinatura do responsável pelo estabelecimento no momento da vistoria:</w:t>
            </w: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5" w:type="dxa"/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Assinatura do responsável pelo estabelecimento no momento da vistoria:</w:t>
            </w: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5" w:type="dxa"/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Assinatura do responsável pelo estabelecimento no momento da vistoria:</w:t>
            </w: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625" w:rsidRPr="0045077E">
        <w:tc>
          <w:tcPr>
            <w:tcW w:w="3154" w:type="dxa"/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5" w:type="dxa"/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3155" w:type="dxa"/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252625" w:rsidRPr="0045077E">
        <w:tc>
          <w:tcPr>
            <w:tcW w:w="3154" w:type="dxa"/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Parecer</w:t>
            </w:r>
            <w:proofErr w:type="spellEnd"/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5" w:type="dxa"/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Parecer</w:t>
            </w:r>
            <w:proofErr w:type="spellEnd"/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5" w:type="dxa"/>
          </w:tcPr>
          <w:p w:rsidR="00252625" w:rsidRPr="0045077E" w:rsidRDefault="00306D2D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>Parecer</w:t>
            </w:r>
            <w:proofErr w:type="spellEnd"/>
            <w:r w:rsidRPr="0045077E">
              <w:rPr>
                <w:rFonts w:ascii="Arial" w:eastAsia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52625" w:rsidRPr="0045077E" w:rsidRDefault="00252625" w:rsidP="0045077E">
            <w:pPr>
              <w:pStyle w:val="Normal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:rsidR="00252625" w:rsidRPr="0045077E" w:rsidRDefault="00252625" w:rsidP="0045077E">
      <w:pPr>
        <w:pStyle w:val="Normal1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252625" w:rsidRPr="0045077E" w:rsidSect="00252625">
      <w:headerReference w:type="default" r:id="rId9"/>
      <w:pgSz w:w="11906" w:h="16838"/>
      <w:pgMar w:top="1079" w:right="1701" w:bottom="107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485" w:rsidRDefault="00232485" w:rsidP="00845D51">
      <w:pPr>
        <w:spacing w:line="240" w:lineRule="auto"/>
        <w:ind w:left="0" w:hanging="2"/>
      </w:pPr>
      <w:r>
        <w:separator/>
      </w:r>
    </w:p>
  </w:endnote>
  <w:endnote w:type="continuationSeparator" w:id="0">
    <w:p w:rsidR="00232485" w:rsidRDefault="00232485" w:rsidP="00845D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485" w:rsidRDefault="00232485" w:rsidP="00845D51">
      <w:pPr>
        <w:spacing w:line="240" w:lineRule="auto"/>
        <w:ind w:left="0" w:hanging="2"/>
      </w:pPr>
      <w:r>
        <w:separator/>
      </w:r>
    </w:p>
  </w:footnote>
  <w:footnote w:type="continuationSeparator" w:id="0">
    <w:p w:rsidR="00232485" w:rsidRDefault="00232485" w:rsidP="00845D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FA" w:rsidRDefault="003139FA">
    <w:pPr>
      <w:pStyle w:val="Normal1"/>
      <w:spacing w:after="60"/>
      <w:ind w:firstLine="284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PREFEITURA DE FLORIANÓPOLIS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-492759</wp:posOffset>
          </wp:positionH>
          <wp:positionV relativeFrom="paragraph">
            <wp:posOffset>-55244</wp:posOffset>
          </wp:positionV>
          <wp:extent cx="581025" cy="723900"/>
          <wp:effectExtent l="0" t="0" r="0" b="0"/>
          <wp:wrapSquare wrapText="bothSides" distT="0" distB="0" distL="114300" distR="114300"/>
          <wp:docPr id="107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139FA" w:rsidRDefault="003139FA">
    <w:pPr>
      <w:pStyle w:val="Normal1"/>
      <w:spacing w:after="60"/>
      <w:ind w:firstLine="284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MUNICIPAL DE SAÚDE</w:t>
    </w:r>
  </w:p>
  <w:p w:rsidR="003139FA" w:rsidRDefault="003139FA">
    <w:pPr>
      <w:pStyle w:val="Normal1"/>
      <w:spacing w:after="60"/>
      <w:ind w:firstLine="284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DIRETORIA DE VIGILÂNCIA EM SAÚDE</w:t>
    </w:r>
  </w:p>
  <w:p w:rsidR="003139FA" w:rsidRDefault="003139FA">
    <w:pPr>
      <w:pStyle w:val="Normal1"/>
      <w:spacing w:after="60"/>
      <w:ind w:firstLine="284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GERÊNCIA DE VIGILÂNCIA SANITÁRIA E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2977"/>
    <w:multiLevelType w:val="hybridMultilevel"/>
    <w:tmpl w:val="C98486DE"/>
    <w:lvl w:ilvl="0" w:tplc="0416000F">
      <w:start w:val="1"/>
      <w:numFmt w:val="decimal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09C45EC9"/>
    <w:multiLevelType w:val="hybridMultilevel"/>
    <w:tmpl w:val="DEAAE382"/>
    <w:lvl w:ilvl="0" w:tplc="B99E8640">
      <w:start w:val="1"/>
      <w:numFmt w:val="upperRoman"/>
      <w:lvlText w:val="%1-"/>
      <w:lvlJc w:val="left"/>
      <w:pPr>
        <w:ind w:left="151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A005117"/>
    <w:multiLevelType w:val="multilevel"/>
    <w:tmpl w:val="3C4CB6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>
    <w:nsid w:val="1AD33C88"/>
    <w:multiLevelType w:val="multilevel"/>
    <w:tmpl w:val="B59CA0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50024D9"/>
    <w:multiLevelType w:val="multilevel"/>
    <w:tmpl w:val="3C4CB6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>
    <w:nsid w:val="38636EC6"/>
    <w:multiLevelType w:val="multilevel"/>
    <w:tmpl w:val="3C4CB6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6">
    <w:nsid w:val="3B58561F"/>
    <w:multiLevelType w:val="multilevel"/>
    <w:tmpl w:val="667AB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1137C0A"/>
    <w:multiLevelType w:val="multilevel"/>
    <w:tmpl w:val="9B5459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61541301"/>
    <w:multiLevelType w:val="hybridMultilevel"/>
    <w:tmpl w:val="B4B2860C"/>
    <w:lvl w:ilvl="0" w:tplc="7C02D082">
      <w:start w:val="1"/>
      <w:numFmt w:val="upperRoman"/>
      <w:lvlText w:val="%1-"/>
      <w:lvlJc w:val="left"/>
      <w:pPr>
        <w:ind w:left="14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6" w:hanging="360"/>
      </w:pPr>
    </w:lvl>
    <w:lvl w:ilvl="2" w:tplc="0416001B" w:tentative="1">
      <w:start w:val="1"/>
      <w:numFmt w:val="lowerRoman"/>
      <w:lvlText w:val="%3."/>
      <w:lvlJc w:val="right"/>
      <w:pPr>
        <w:ind w:left="2506" w:hanging="180"/>
      </w:pPr>
    </w:lvl>
    <w:lvl w:ilvl="3" w:tplc="0416000F" w:tentative="1">
      <w:start w:val="1"/>
      <w:numFmt w:val="decimal"/>
      <w:lvlText w:val="%4."/>
      <w:lvlJc w:val="left"/>
      <w:pPr>
        <w:ind w:left="3226" w:hanging="360"/>
      </w:pPr>
    </w:lvl>
    <w:lvl w:ilvl="4" w:tplc="04160019" w:tentative="1">
      <w:start w:val="1"/>
      <w:numFmt w:val="lowerLetter"/>
      <w:lvlText w:val="%5."/>
      <w:lvlJc w:val="left"/>
      <w:pPr>
        <w:ind w:left="3946" w:hanging="360"/>
      </w:pPr>
    </w:lvl>
    <w:lvl w:ilvl="5" w:tplc="0416001B" w:tentative="1">
      <w:start w:val="1"/>
      <w:numFmt w:val="lowerRoman"/>
      <w:lvlText w:val="%6."/>
      <w:lvlJc w:val="right"/>
      <w:pPr>
        <w:ind w:left="4666" w:hanging="180"/>
      </w:pPr>
    </w:lvl>
    <w:lvl w:ilvl="6" w:tplc="0416000F" w:tentative="1">
      <w:start w:val="1"/>
      <w:numFmt w:val="decimal"/>
      <w:lvlText w:val="%7."/>
      <w:lvlJc w:val="left"/>
      <w:pPr>
        <w:ind w:left="5386" w:hanging="360"/>
      </w:pPr>
    </w:lvl>
    <w:lvl w:ilvl="7" w:tplc="04160019" w:tentative="1">
      <w:start w:val="1"/>
      <w:numFmt w:val="lowerLetter"/>
      <w:lvlText w:val="%8."/>
      <w:lvlJc w:val="left"/>
      <w:pPr>
        <w:ind w:left="6106" w:hanging="360"/>
      </w:pPr>
    </w:lvl>
    <w:lvl w:ilvl="8" w:tplc="0416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CBD4137"/>
    <w:multiLevelType w:val="multilevel"/>
    <w:tmpl w:val="3C4CB6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0">
    <w:nsid w:val="7F012007"/>
    <w:multiLevelType w:val="multilevel"/>
    <w:tmpl w:val="3C4CB6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25"/>
    <w:rsid w:val="00142613"/>
    <w:rsid w:val="00232485"/>
    <w:rsid w:val="00252625"/>
    <w:rsid w:val="00306D2D"/>
    <w:rsid w:val="003139FA"/>
    <w:rsid w:val="0045077E"/>
    <w:rsid w:val="00542816"/>
    <w:rsid w:val="00562F89"/>
    <w:rsid w:val="005C14EA"/>
    <w:rsid w:val="00643DC6"/>
    <w:rsid w:val="007A1B37"/>
    <w:rsid w:val="00845D51"/>
    <w:rsid w:val="008E1157"/>
    <w:rsid w:val="008E3D05"/>
    <w:rsid w:val="00920C0D"/>
    <w:rsid w:val="00BC70CD"/>
    <w:rsid w:val="00DA298A"/>
    <w:rsid w:val="00DB6B1B"/>
    <w:rsid w:val="00E817B5"/>
    <w:rsid w:val="00E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8A155-3478-4CF1-92E6-4CBEEF3A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25262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1"/>
    <w:next w:val="Normal1"/>
    <w:rsid w:val="002526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autoRedefine/>
    <w:hidden/>
    <w:qFormat/>
    <w:rsid w:val="00252625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1"/>
    <w:next w:val="Normal1"/>
    <w:rsid w:val="002526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5262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526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526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52625"/>
  </w:style>
  <w:style w:type="table" w:customStyle="1" w:styleId="TableNormal">
    <w:name w:val="Table Normal"/>
    <w:rsid w:val="002526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62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autoRedefine/>
    <w:hidden/>
    <w:qFormat/>
    <w:rsid w:val="00252625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autoRedefine/>
    <w:hidden/>
    <w:qFormat/>
    <w:rsid w:val="0025262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autoRedefine/>
    <w:hidden/>
    <w:qFormat/>
    <w:rsid w:val="00252625"/>
  </w:style>
  <w:style w:type="table" w:customStyle="1" w:styleId="Tablaconcuadrcula">
    <w:name w:val="Tabla con cuadrícula"/>
    <w:basedOn w:val="Tablanormal"/>
    <w:autoRedefine/>
    <w:hidden/>
    <w:qFormat/>
    <w:rsid w:val="00252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">
    <w:name w:val="Encabezado"/>
    <w:basedOn w:val="Normal"/>
    <w:autoRedefine/>
    <w:hidden/>
    <w:qFormat/>
    <w:rsid w:val="0025262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ncabezadoCar">
    <w:name w:val="Encabezado Car"/>
    <w:autoRedefine/>
    <w:hidden/>
    <w:qFormat/>
    <w:rsid w:val="00252625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autoRedefine/>
    <w:hidden/>
    <w:qFormat/>
    <w:rsid w:val="00252625"/>
    <w:pPr>
      <w:ind w:left="720"/>
    </w:pPr>
  </w:style>
  <w:style w:type="paragraph" w:customStyle="1" w:styleId="Piedepgina">
    <w:name w:val="Pie de página"/>
    <w:basedOn w:val="Normal"/>
    <w:autoRedefine/>
    <w:hidden/>
    <w:qFormat/>
    <w:rsid w:val="002526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autoRedefine/>
    <w:hidden/>
    <w:qFormat/>
    <w:rsid w:val="00252625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xtodeglobo">
    <w:name w:val="Texto de globo"/>
    <w:basedOn w:val="Normal"/>
    <w:autoRedefine/>
    <w:hidden/>
    <w:qFormat/>
    <w:rsid w:val="00252625"/>
    <w:rPr>
      <w:rFonts w:ascii="Tahoma" w:eastAsia="SimSun" w:hAnsi="Tahoma" w:cs="Tahoma"/>
      <w:sz w:val="16"/>
      <w:szCs w:val="16"/>
    </w:rPr>
  </w:style>
  <w:style w:type="character" w:customStyle="1" w:styleId="TextodegloboCar">
    <w:name w:val="Texto de globo Car"/>
    <w:autoRedefine/>
    <w:hidden/>
    <w:qFormat/>
    <w:rsid w:val="00252625"/>
    <w:rPr>
      <w:rFonts w:ascii="Tahoma" w:eastAsia="SimSu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customStyle="1" w:styleId="fontstyle01">
    <w:name w:val="fontstyle01"/>
    <w:autoRedefine/>
    <w:hidden/>
    <w:qFormat/>
    <w:rsid w:val="00252625"/>
    <w:rPr>
      <w:rFonts w:ascii="Tahoma" w:hAnsi="Tahoma" w:cs="Tahoma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autoRedefine/>
    <w:hidden/>
    <w:qFormat/>
    <w:rsid w:val="00252625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2526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62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5262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5262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5262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25262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5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D51"/>
    <w:rPr>
      <w:rFonts w:ascii="Tahoma" w:hAnsi="Tahoma" w:cs="Tahoma"/>
      <w:position w:val="-1"/>
      <w:sz w:val="16"/>
      <w:szCs w:val="16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643D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DZa8Qy+71Db4jmSQc69OSdAIMA==">AMUW2mWQySVfTJ5EdY69Bbppq9i3OhE2wRCR/SoGUjxM5WBcADrGTrQ5WWLCU+d9azj1T19cI2SWjJBUkDMs7b5o3pgbI7T1Eef0kbEjLdeHUWt6n6QqT30=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3D80B7-0D3F-4EEA-8A05-6FF62068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3033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Fernanda de Mendonça</cp:lastModifiedBy>
  <cp:revision>4</cp:revision>
  <dcterms:created xsi:type="dcterms:W3CDTF">2021-02-02T17:43:00Z</dcterms:created>
  <dcterms:modified xsi:type="dcterms:W3CDTF">2022-04-11T19:47:00Z</dcterms:modified>
</cp:coreProperties>
</file>